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D2" w:rsidRPr="00512D6C" w:rsidRDefault="00612AD2" w:rsidP="00612AD2">
      <w:pPr>
        <w:spacing w:after="0" w:line="240" w:lineRule="auto"/>
        <w:jc w:val="center"/>
        <w:rPr>
          <w:rFonts w:ascii="Calibri" w:eastAsia="Times New Roman" w:hAnsi="Calibri" w:cs="Calibri"/>
          <w:b/>
          <w:color w:val="666666"/>
          <w:sz w:val="40"/>
          <w:szCs w:val="40"/>
          <w:lang w:eastAsia="hr-HR"/>
        </w:rPr>
      </w:pPr>
      <w:r w:rsidRPr="00B54912">
        <w:rPr>
          <w:rFonts w:ascii="Calibri" w:eastAsia="Times New Roman" w:hAnsi="Calibri" w:cs="Calibri"/>
          <w:b/>
          <w:noProof/>
          <w:color w:val="666666"/>
          <w:sz w:val="40"/>
          <w:szCs w:val="40"/>
          <w:lang w:eastAsia="hr-HR"/>
        </w:rPr>
        <w:drawing>
          <wp:inline distT="0" distB="0" distL="0" distR="0" wp14:anchorId="62FD42EA" wp14:editId="28FD0764">
            <wp:extent cx="3676650" cy="811530"/>
            <wp:effectExtent l="0" t="0" r="0" b="7620"/>
            <wp:docPr id="1" name="Slika 1" descr="https://narodne-novine.nn.hr/img/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D2" w:rsidRPr="00B54912" w:rsidRDefault="00612AD2" w:rsidP="00612AD2">
      <w:pPr>
        <w:spacing w:after="0" w:line="240" w:lineRule="auto"/>
        <w:jc w:val="center"/>
        <w:rPr>
          <w:rFonts w:ascii="Calibri" w:eastAsia="Times New Roman" w:hAnsi="Calibri" w:cs="Calibri"/>
          <w:b/>
          <w:color w:val="666666"/>
          <w:sz w:val="36"/>
          <w:szCs w:val="36"/>
          <w:lang w:eastAsia="hr-HR"/>
        </w:rPr>
      </w:pPr>
    </w:p>
    <w:p w:rsidR="00612AD2" w:rsidRPr="00512D6C" w:rsidRDefault="00612AD2" w:rsidP="00612AD2">
      <w:pPr>
        <w:spacing w:line="288" w:lineRule="atLeast"/>
        <w:jc w:val="center"/>
        <w:outlineLvl w:val="1"/>
        <w:rPr>
          <w:rFonts w:ascii="Minion Pro" w:eastAsia="Times New Roman" w:hAnsi="Minion Pro" w:cs="Calibri"/>
          <w:b/>
          <w:color w:val="3F7FC3"/>
          <w:sz w:val="36"/>
          <w:szCs w:val="36"/>
          <w:lang w:eastAsia="hr-HR"/>
        </w:rPr>
      </w:pPr>
      <w:r w:rsidRPr="00B54912">
        <w:rPr>
          <w:rFonts w:ascii="Minion Pro" w:eastAsia="Times New Roman" w:hAnsi="Minion Pro" w:cs="Calibri"/>
          <w:b/>
          <w:color w:val="3F7FC3"/>
          <w:sz w:val="36"/>
          <w:szCs w:val="36"/>
          <w:lang w:eastAsia="hr-HR"/>
        </w:rPr>
        <w:t>Odluka o donošenju nastavnog plana za osnovnu školu</w:t>
      </w:r>
    </w:p>
    <w:p w:rsidR="00612AD2" w:rsidRPr="00B54912" w:rsidRDefault="00612AD2" w:rsidP="00612AD2">
      <w:pPr>
        <w:spacing w:line="288" w:lineRule="atLeast"/>
        <w:jc w:val="center"/>
        <w:outlineLvl w:val="1"/>
        <w:rPr>
          <w:rFonts w:ascii="Minion Pro" w:eastAsia="Times New Roman" w:hAnsi="Minion Pro" w:cs="Calibri"/>
          <w:b/>
          <w:color w:val="3F7FC3"/>
          <w:sz w:val="36"/>
          <w:szCs w:val="36"/>
          <w:lang w:eastAsia="hr-HR"/>
        </w:rPr>
      </w:pPr>
      <w:r w:rsidRPr="00512D6C">
        <w:rPr>
          <w:rFonts w:ascii="Minion Pro" w:eastAsia="Times New Roman" w:hAnsi="Minion Pro" w:cs="Calibri"/>
          <w:b/>
          <w:color w:val="3F7FC3"/>
          <w:sz w:val="36"/>
          <w:szCs w:val="36"/>
          <w:lang w:eastAsia="hr-HR"/>
        </w:rPr>
        <w:t>NN 66/2019</w:t>
      </w:r>
    </w:p>
    <w:p w:rsidR="00612AD2" w:rsidRPr="00B54912" w:rsidRDefault="00612AD2" w:rsidP="00612AD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hr-HR"/>
        </w:rPr>
        <w:t>NN 66/2019 (10.7.2019.), Odluka o donošenju nastavnog plana za osnovnu školu</w:t>
      </w:r>
    </w:p>
    <w:p w:rsidR="00612AD2" w:rsidRPr="00B5491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Ministarstvo znanosti i obrazovanja</w:t>
      </w:r>
    </w:p>
    <w:p w:rsidR="00612AD2" w:rsidRPr="00B54912" w:rsidRDefault="00612AD2" w:rsidP="00612AD2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1305</w:t>
      </w: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612AD2" w:rsidRPr="00B5491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r-HR"/>
        </w:rPr>
      </w:pPr>
      <w:r w:rsidRPr="00B549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r-HR"/>
        </w:rPr>
        <w:t>ODLUKU</w:t>
      </w:r>
    </w:p>
    <w:p w:rsidR="00612AD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r-HR"/>
        </w:rPr>
      </w:pPr>
      <w:r w:rsidRPr="00B549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r-HR"/>
        </w:rPr>
        <w:t>O DONOŠENJU NASTAVNOG PLANA ZA OSNOVNU ŠKOLU</w:t>
      </w:r>
    </w:p>
    <w:p w:rsidR="00612AD2" w:rsidRPr="00B5491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I.</w:t>
      </w: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Ovom Odlukom donosi se Nastavni plan za osnovnu školu.</w:t>
      </w: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II.</w:t>
      </w: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Sastavni dio ove Odluke je Nastavni plan za osnovnu školu.</w:t>
      </w: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III.</w:t>
      </w: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Stupanjem na snagu ove Odluke stavlja se izvan snage Uvod, Ciljevi i zadaće odgoja i obrazovanja u osnovnoj školi, Temeljne odrednice odgojno-obrazovnoga i nastavnog rada prema HNOS-u, Nastavni plan za provedbu nastavnog programa, Odgojno-obrazovni, školski i nastavni rad, Odgojno-obrazovni oblici, metode i sredstva izvannastavnoga i </w:t>
      </w:r>
      <w:proofErr w:type="spellStart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izvanučioničkog</w:t>
      </w:r>
      <w:proofErr w:type="spellEnd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rada, Rad s darovitim učenicima, Rad s učenicima s posebnim potrebama, Nositelji odgojno-obrazovne djelatnosti u osnovnoj školi, Odgojno-obrazovna djelatnost stručnih suradnika u osnovnoj školi, Školska knjižnica, Integrativni odgojno-obrazovni sadržaji za osnovnu školu i Strani jezici koji su dio Nastavnog plana i programa za osnovnu školu, a koji je donesen Odlukom o nastavnom planu i programu za osnovnu školu (»Narodne novine«, broj 102/06).</w:t>
      </w: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IV.</w:t>
      </w: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Ova Odluka stupa na snagu osmoga dana od dana objave u »Narodnim novinama«, osim dijela koji se odnosi na izbornu nastavu nastavnoga predmeta </w:t>
      </w: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lastRenderedPageBreak/>
        <w:t>Informatika za učenike I., II., III. i IV. razreda osnovne škole, koji stupa na snagu 1. rujna 2020. godine.</w:t>
      </w: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Klasa: 602-02/19-05/00012</w:t>
      </w: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proofErr w:type="spellStart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Urbroj</w:t>
      </w:r>
      <w:proofErr w:type="spellEnd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: 533-08-19-0001</w:t>
      </w: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Zagreb, 4. srpnja 2019.</w:t>
      </w: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Ministrica</w:t>
      </w: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</w:r>
      <w:r w:rsidRPr="00B549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r-HR"/>
        </w:rPr>
        <w:t xml:space="preserve">prof. dr. sc. Blaženka Divjak, </w:t>
      </w: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v. r.</w:t>
      </w:r>
    </w:p>
    <w:p w:rsidR="00612AD2" w:rsidRPr="00512D6C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612AD2" w:rsidRDefault="00612AD2" w:rsidP="00612AD2">
      <w:pPr>
        <w:spacing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lastRenderedPageBreak/>
        <w:t>NASTAVNI PLAN ZA OSNOVNU ŠKOLU</w:t>
      </w:r>
    </w:p>
    <w:p w:rsidR="00612AD2" w:rsidRPr="00B54912" w:rsidRDefault="00612AD2" w:rsidP="00612AD2">
      <w:pPr>
        <w:spacing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63"/>
        <w:gridCol w:w="764"/>
        <w:gridCol w:w="830"/>
        <w:gridCol w:w="814"/>
        <w:gridCol w:w="866"/>
        <w:gridCol w:w="866"/>
        <w:gridCol w:w="866"/>
        <w:gridCol w:w="866"/>
        <w:gridCol w:w="142"/>
        <w:gridCol w:w="801"/>
      </w:tblGrid>
      <w:tr w:rsidR="00612AD2" w:rsidRPr="00512D6C" w:rsidTr="00E3742A">
        <w:trPr>
          <w:jc w:val="center"/>
        </w:trPr>
        <w:tc>
          <w:tcPr>
            <w:tcW w:w="12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PREDMETNI KURIKULUMI</w:t>
            </w:r>
          </w:p>
        </w:tc>
        <w:tc>
          <w:tcPr>
            <w:tcW w:w="371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GODIŠNJI BROJ SATI PO RAZREDIMA</w:t>
            </w:r>
          </w:p>
        </w:tc>
      </w:tr>
      <w:tr w:rsidR="00612AD2" w:rsidRPr="00512D6C" w:rsidTr="00E3742A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17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Razredna nastava</w:t>
            </w:r>
          </w:p>
        </w:tc>
        <w:tc>
          <w:tcPr>
            <w:tcW w:w="1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Predmetna nastava</w:t>
            </w:r>
          </w:p>
        </w:tc>
      </w:tr>
      <w:tr w:rsidR="00612AD2" w:rsidRPr="00512D6C" w:rsidTr="00E3742A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II.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III.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IV.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V.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VI.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VII.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VIII.</w:t>
            </w:r>
          </w:p>
        </w:tc>
      </w:tr>
      <w:tr w:rsidR="00612AD2" w:rsidRPr="00512D6C" w:rsidTr="00E3742A">
        <w:trPr>
          <w:jc w:val="center"/>
        </w:trPr>
        <w:tc>
          <w:tcPr>
            <w:tcW w:w="495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OBVEZNI PREDMETI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175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175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175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175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175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175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Strani jezik (prvi strani jezik)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Likovna kultura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Glazbena kultura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140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Priroda i društvo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Priroda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52,5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Fizika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52,5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Tehnička kultura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Tjelesna i zdravstvena kultura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Ukupno (tjedno)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26</w:t>
            </w:r>
          </w:p>
        </w:tc>
      </w:tr>
      <w:tr w:rsidR="00612AD2" w:rsidRPr="00512D6C" w:rsidTr="00E3742A">
        <w:trPr>
          <w:jc w:val="center"/>
        </w:trPr>
        <w:tc>
          <w:tcPr>
            <w:tcW w:w="495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IZBORNI PREDMETI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Vjeronauk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Informatika*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Drugi strani jezik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70</w:t>
            </w:r>
          </w:p>
        </w:tc>
      </w:tr>
      <w:tr w:rsidR="00612AD2" w:rsidRPr="00512D6C" w:rsidTr="00E3742A">
        <w:trPr>
          <w:jc w:val="center"/>
        </w:trPr>
        <w:tc>
          <w:tcPr>
            <w:tcW w:w="495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POSEBNI PROGRAMI KLASIČNIH JEZIKA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Grčki jezik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105</w:t>
            </w:r>
          </w:p>
        </w:tc>
      </w:tr>
      <w:tr w:rsidR="00612AD2" w:rsidRPr="00512D6C" w:rsidTr="00E3742A">
        <w:trPr>
          <w:jc w:val="center"/>
        </w:trPr>
        <w:tc>
          <w:tcPr>
            <w:tcW w:w="495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>MEĐUPREDMETNE TEME**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Osobni i socijalni razvoj</w:t>
            </w:r>
          </w:p>
        </w:tc>
        <w:tc>
          <w:tcPr>
            <w:tcW w:w="180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izvode se 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međupredmetno</w:t>
            </w:r>
            <w:proofErr w:type="spellEnd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u okviru satnice nastavnih predmeta i sata razrednog odjela</w:t>
            </w:r>
          </w:p>
        </w:tc>
        <w:tc>
          <w:tcPr>
            <w:tcW w:w="194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izvode se 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međupredmetno</w:t>
            </w:r>
            <w:proofErr w:type="spellEnd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u okviru satnice nastavnih predmeta i sata razrednog odjela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Građanski odgoj i obrazovanje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Zdravlje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Održivi razvoj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Učiti kako učiti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Uporaba informacijske i komunikacijske tehnologije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612AD2" w:rsidRPr="00512D6C" w:rsidTr="00E3742A">
        <w:trPr>
          <w:jc w:val="center"/>
        </w:trPr>
        <w:tc>
          <w:tcPr>
            <w:tcW w:w="495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hr-HR"/>
              </w:rPr>
              <w:t>DRUGI OBLICI NASTAVE</w:t>
            </w:r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Dopunska i dodatna nastava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35+</w:t>
            </w:r>
            <w:proofErr w:type="spellStart"/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  <w:proofErr w:type="spellEnd"/>
          </w:p>
        </w:tc>
      </w:tr>
      <w:tr w:rsidR="00612AD2" w:rsidRPr="00512D6C" w:rsidTr="00E3742A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Sat razrednog odjela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2AD2" w:rsidRPr="00B54912" w:rsidRDefault="00612AD2" w:rsidP="00E3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B54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35</w:t>
            </w:r>
          </w:p>
        </w:tc>
      </w:tr>
    </w:tbl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612AD2" w:rsidRPr="00B54912" w:rsidRDefault="00612AD2" w:rsidP="00612AD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* Dio koji se odnosi na izbornu nastavu nastavnoga predmeta Informatika primjenjivat će se za učenike I., II., III. i IV. razreda osnovne škole od školske godine 2020./2021.</w:t>
      </w:r>
    </w:p>
    <w:p w:rsidR="00612AD2" w:rsidRPr="00B54912" w:rsidRDefault="00612AD2" w:rsidP="00612AD2">
      <w:pPr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** </w:t>
      </w:r>
      <w:proofErr w:type="spellStart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Kurikulumi</w:t>
      </w:r>
      <w:proofErr w:type="spellEnd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proofErr w:type="spellStart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međupredmetnih</w:t>
      </w:r>
      <w:proofErr w:type="spellEnd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tema izvode se </w:t>
      </w:r>
      <w:proofErr w:type="spellStart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međupredmetno</w:t>
      </w:r>
      <w:proofErr w:type="spellEnd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u okviru svih nastavnih predmeta i sata razrednog odjela. Realizacija odgojno-obrazovnih očekivanja svih </w:t>
      </w:r>
      <w:proofErr w:type="spellStart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međupredmetnih</w:t>
      </w:r>
      <w:proofErr w:type="spellEnd"/>
      <w:r w:rsidRPr="00B54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tema je obavezna u svim razredima, a za to se koriste sati planirani za pojedine nastavne predmete i sat razrednog odjela.</w:t>
      </w:r>
    </w:p>
    <w:p w:rsidR="00612AD2" w:rsidRPr="00512D6C" w:rsidRDefault="00612AD2" w:rsidP="00612A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F70" w:rsidRDefault="00EC5F70">
      <w:bookmarkStart w:id="0" w:name="_GoBack"/>
      <w:bookmarkEnd w:id="0"/>
    </w:p>
    <w:sectPr w:rsidR="00EC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D2"/>
    <w:rsid w:val="00612AD2"/>
    <w:rsid w:val="00E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narodne-novine.nn.hr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2019-07-18T10:35:00Z</dcterms:created>
  <dcterms:modified xsi:type="dcterms:W3CDTF">2019-07-18T10:35:00Z</dcterms:modified>
</cp:coreProperties>
</file>